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2F262" w14:textId="4B298E20" w:rsidR="002811E9" w:rsidRPr="00EC4D4C" w:rsidRDefault="4825908A" w:rsidP="4825908A">
      <w:pPr>
        <w:rPr>
          <w:rFonts w:ascii="Arial" w:eastAsia="Arial" w:hAnsi="Arial" w:cs="Arial"/>
          <w:b/>
          <w:bCs/>
          <w:sz w:val="32"/>
          <w:szCs w:val="32"/>
        </w:rPr>
      </w:pPr>
      <w:r w:rsidRPr="4825908A">
        <w:rPr>
          <w:rFonts w:ascii="Arial" w:eastAsia="Arial" w:hAnsi="Arial" w:cs="Arial"/>
          <w:b/>
          <w:bCs/>
          <w:sz w:val="32"/>
          <w:szCs w:val="32"/>
        </w:rPr>
        <w:t>Framsynsgruppen Region 2050</w:t>
      </w:r>
    </w:p>
    <w:p w14:paraId="2913B4F0" w14:textId="77777777" w:rsidR="004846B3" w:rsidRDefault="004846B3" w:rsidP="004846B3">
      <w:pPr>
        <w:spacing w:line="240" w:lineRule="auto"/>
        <w:rPr>
          <w:rStyle w:val="Rubrik3Char"/>
        </w:rPr>
      </w:pPr>
    </w:p>
    <w:p w14:paraId="41D72315" w14:textId="53AC06C3" w:rsidR="00E00D9C" w:rsidRPr="00A9604F" w:rsidRDefault="4825908A" w:rsidP="4825908A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4825908A">
        <w:rPr>
          <w:rStyle w:val="Rubrik3Char"/>
        </w:rPr>
        <w:t>Uppdragsgivare:</w:t>
      </w:r>
      <w:r w:rsidRPr="4825908A">
        <w:rPr>
          <w:rFonts w:ascii="Times New Roman" w:eastAsia="Times New Roman" w:hAnsi="Times New Roman" w:cs="Times New Roman"/>
        </w:rPr>
        <w:t xml:space="preserve"> </w:t>
      </w:r>
      <w:r>
        <w:t>Helena Lundberg Nilsson</w:t>
      </w:r>
    </w:p>
    <w:p w14:paraId="78473FC3" w14:textId="6066233C" w:rsidR="004846B3" w:rsidRPr="004846B3" w:rsidRDefault="4825908A" w:rsidP="004846B3">
      <w:pPr>
        <w:spacing w:line="240" w:lineRule="auto"/>
      </w:pPr>
      <w:r w:rsidRPr="4825908A">
        <w:rPr>
          <w:rStyle w:val="Rubrik3Char"/>
        </w:rPr>
        <w:t>Uppdragstagare:</w:t>
      </w:r>
      <w:r>
        <w:t xml:space="preserve"> Maria Jakobsson, Maria Larsson, Anita Rynvall Mårtensson, Lisa Belfrage, Charlotte Beijer och Lisa Lundin</w:t>
      </w:r>
    </w:p>
    <w:p w14:paraId="6173D311" w14:textId="77777777" w:rsidR="004846B3" w:rsidRDefault="004846B3" w:rsidP="004846B3">
      <w:pPr>
        <w:spacing w:line="240" w:lineRule="auto"/>
        <w:rPr>
          <w:rStyle w:val="Rubrik3Char"/>
        </w:rPr>
      </w:pPr>
    </w:p>
    <w:p w14:paraId="468ABA64" w14:textId="05D1ECBD" w:rsidR="0090768E" w:rsidRPr="00D578E6" w:rsidRDefault="4825908A" w:rsidP="4825908A">
      <w:pPr>
        <w:spacing w:line="240" w:lineRule="auto"/>
        <w:rPr>
          <w:rFonts w:eastAsia="Arial" w:cs="Arial"/>
        </w:rPr>
      </w:pPr>
      <w:r w:rsidRPr="4825908A">
        <w:rPr>
          <w:rStyle w:val="Rubrik3Char"/>
        </w:rPr>
        <w:t>Bakgrund</w:t>
      </w:r>
      <w:r w:rsidR="002457A9">
        <w:br/>
      </w:r>
      <w:r w:rsidRPr="00D578E6">
        <w:rPr>
          <w:rFonts w:eastAsia="Arial" w:cs="Arial"/>
          <w:lang w:eastAsia="sv-SE"/>
        </w:rPr>
        <w:t>Västra Götalandsregionen deltar i Reglabs framsynsprocess Region 2050. Satsningen pågår i två år och inbegriper både gemensamma workshopar, aktiviteter på hemmaplan i regionerna och lärande mellan regionernas ledare (chefer och politiker).</w:t>
      </w:r>
    </w:p>
    <w:p w14:paraId="5249E632" w14:textId="77777777" w:rsidR="00584EB5" w:rsidRPr="00D578E6" w:rsidRDefault="4825908A" w:rsidP="4825908A">
      <w:pPr>
        <w:spacing w:line="240" w:lineRule="auto"/>
        <w:rPr>
          <w:rFonts w:eastAsia="Arial" w:cs="Arial"/>
          <w:b/>
          <w:bCs/>
          <w:lang w:eastAsia="sv-SE"/>
        </w:rPr>
      </w:pPr>
      <w:r w:rsidRPr="00D578E6">
        <w:rPr>
          <w:rFonts w:eastAsia="Arial" w:cs="Arial"/>
          <w:lang w:eastAsia="sv-SE"/>
        </w:rPr>
        <w:t xml:space="preserve">Region 2050 ska fördjupa förståelsen för de trender och megatrender som kan komma att prägla de kommande 20-30 åren. Den ska skapa beredskap för förändringar och lägga en grund för strategiska diskussioner och beslut i regionerna. Framsynen ska inte bygga på prognoser ‒ Vad kommer att hända? – utan söka det okända: Vad kan komma att hända? </w:t>
      </w:r>
    </w:p>
    <w:p w14:paraId="35750EC8" w14:textId="77777777" w:rsidR="00F10C0B" w:rsidRPr="00D578E6" w:rsidRDefault="4825908A" w:rsidP="4825908A">
      <w:pPr>
        <w:spacing w:line="240" w:lineRule="auto"/>
        <w:rPr>
          <w:b/>
          <w:bCs/>
          <w:lang w:eastAsia="sv-SE"/>
        </w:rPr>
      </w:pPr>
      <w:r w:rsidRPr="00D578E6">
        <w:rPr>
          <w:lang w:eastAsia="sv-SE"/>
        </w:rPr>
        <w:t xml:space="preserve">En stor del av insatserna inom Region 2050 kommer att genomföras i arbetsspåret Framsynsgruppen. Där ca 100 regionutvecklare deltar i gemensamma workshops under 2017 och 2018. Inriktning på bl.a. omvärldsspaning, scenarier och metoder. </w:t>
      </w:r>
    </w:p>
    <w:p w14:paraId="0C0456DF" w14:textId="2072B9FF" w:rsidR="0090768E" w:rsidRPr="00D578E6" w:rsidRDefault="4825908A" w:rsidP="4825908A">
      <w:pPr>
        <w:spacing w:line="240" w:lineRule="auto"/>
        <w:rPr>
          <w:rFonts w:eastAsiaTheme="minorEastAsia" w:cstheme="minorEastAsia"/>
          <w:b/>
          <w:bCs/>
          <w:lang w:eastAsia="sv-SE"/>
        </w:rPr>
      </w:pPr>
      <w:r w:rsidRPr="00D578E6">
        <w:rPr>
          <w:rFonts w:eastAsiaTheme="minorEastAsia" w:cstheme="minorEastAsia"/>
          <w:lang w:eastAsia="sv-SE"/>
        </w:rPr>
        <w:t xml:space="preserve">Från Västra Götalandsregionen deltar </w:t>
      </w:r>
      <w:r w:rsidRPr="00D578E6">
        <w:rPr>
          <w:rFonts w:eastAsiaTheme="minorEastAsia" w:cstheme="minorEastAsia"/>
        </w:rPr>
        <w:t xml:space="preserve">Maria Jakobsson, avdelning Näringsliv, Maria Larsson enheten samhällsanalys, Anita Rynvall Mårtensson avdelning kollektivtrafik och infrastruktur, Lisa Belfrage avdelning FoUU, Charlotte Beijer enheten externa relationer och Lisa Lundin avdelning Näringsliv. Arbetet i Framsynsgruppen sker i form av att delta i gemensamma nationella workshops samt att genomföra aktiviteter på hemmaplan i Västra Götalandsregionen. </w:t>
      </w:r>
    </w:p>
    <w:p w14:paraId="3208EA95" w14:textId="21C2DBF3" w:rsidR="00E00D9C" w:rsidRPr="00D578E6" w:rsidRDefault="4825908A" w:rsidP="4825908A">
      <w:pPr>
        <w:pStyle w:val="Rubrik3"/>
        <w:rPr>
          <w:rFonts w:eastAsia="Times New Roman" w:cs="Arial"/>
        </w:rPr>
      </w:pPr>
      <w:r w:rsidRPr="00D578E6">
        <w:rPr>
          <w:rFonts w:eastAsia="Times New Roman" w:cs="Arial"/>
        </w:rPr>
        <w:t xml:space="preserve">Syfte </w:t>
      </w:r>
    </w:p>
    <w:p w14:paraId="68D47DBC" w14:textId="4A3852A1" w:rsidR="61D63E62" w:rsidRPr="00D578E6" w:rsidRDefault="4825908A" w:rsidP="004846B3">
      <w:pPr>
        <w:spacing w:line="240" w:lineRule="auto"/>
      </w:pPr>
      <w:r w:rsidRPr="00D578E6">
        <w:t>Att säkerställa att det lärande och den kunskap som medarbetarna i tillägnar sig i Framsynsgruppen tas till vara på inom regional utveckling.</w:t>
      </w:r>
    </w:p>
    <w:p w14:paraId="1E6F71B0" w14:textId="77777777" w:rsidR="004846B3" w:rsidRPr="00D578E6" w:rsidRDefault="4825908A" w:rsidP="00D10CF1">
      <w:pPr>
        <w:pStyle w:val="Rubrik3"/>
        <w:rPr>
          <w:rFonts w:cs="Arial"/>
        </w:rPr>
      </w:pPr>
      <w:r w:rsidRPr="00D578E6">
        <w:rPr>
          <w:rFonts w:cs="Arial"/>
        </w:rPr>
        <w:t>Uppdragsbeskrivning</w:t>
      </w:r>
    </w:p>
    <w:p w14:paraId="67F861AA" w14:textId="346940C9" w:rsidR="00333D09" w:rsidRPr="00D578E6" w:rsidRDefault="4825908A" w:rsidP="4825908A">
      <w:pPr>
        <w:pStyle w:val="Rubrik3"/>
        <w:rPr>
          <w:rFonts w:eastAsia="Times New Roman" w:cs="Arial"/>
        </w:rPr>
      </w:pPr>
      <w:r w:rsidRPr="00D578E6">
        <w:rPr>
          <w:rFonts w:cs="Arial"/>
        </w:rPr>
        <w:t>Mål och förväntat resultat</w:t>
      </w:r>
    </w:p>
    <w:p w14:paraId="4F10D622" w14:textId="09FBB3C4" w:rsidR="00584EB5" w:rsidRDefault="4825908A" w:rsidP="004846B3">
      <w:pPr>
        <w:spacing w:line="240" w:lineRule="auto"/>
      </w:pPr>
      <w:r>
        <w:t>Uppdraget består av tre delar:</w:t>
      </w:r>
    </w:p>
    <w:p w14:paraId="2F4876A0" w14:textId="4F6EB2DB" w:rsidR="00882C9F" w:rsidRDefault="4825908A" w:rsidP="00AB1FDB">
      <w:pPr>
        <w:pStyle w:val="Liststycke"/>
        <w:numPr>
          <w:ilvl w:val="0"/>
          <w:numId w:val="20"/>
        </w:numPr>
        <w:spacing w:line="240" w:lineRule="auto"/>
      </w:pPr>
      <w:r>
        <w:t>Metodbank: samla kunskaper, metoder, spaningar och rapporter i en gemensam bank.</w:t>
      </w:r>
    </w:p>
    <w:p w14:paraId="27C5030E" w14:textId="45DEEA15" w:rsidR="00882C9F" w:rsidRDefault="4825908A" w:rsidP="00AB1FDB">
      <w:pPr>
        <w:pStyle w:val="Liststycke"/>
        <w:numPr>
          <w:ilvl w:val="0"/>
          <w:numId w:val="20"/>
        </w:numPr>
        <w:spacing w:line="240" w:lineRule="auto"/>
      </w:pPr>
      <w:r>
        <w:t xml:space="preserve">Lärande: ge tillfälle för kunskap och lärande hos medarbetare inom koncernstab regional utveckling. Det kan ske på en RU-dag samt på stormöten och genom workshops. </w:t>
      </w:r>
    </w:p>
    <w:p w14:paraId="0ED25E5E" w14:textId="0980AFB3" w:rsidR="00882C9F" w:rsidRDefault="4825908A" w:rsidP="00AB1FDB">
      <w:pPr>
        <w:pStyle w:val="Liststycke"/>
        <w:numPr>
          <w:ilvl w:val="0"/>
          <w:numId w:val="20"/>
        </w:numPr>
        <w:spacing w:line="240" w:lineRule="auto"/>
      </w:pPr>
      <w:r>
        <w:t>Stöd i framsynsprocesser: t.ex. att ge råd om verktyg/metoder, kontakter till framtidsstrateger och nationella nätverk.</w:t>
      </w:r>
    </w:p>
    <w:p w14:paraId="271BAFB9" w14:textId="0EE5F567" w:rsidR="00F10C0B" w:rsidRPr="00584EB5" w:rsidRDefault="4825908A" w:rsidP="004846B3">
      <w:pPr>
        <w:spacing w:line="240" w:lineRule="auto"/>
      </w:pPr>
      <w:r>
        <w:t xml:space="preserve">En tids- och aktivitetsplan ska tas fram. </w:t>
      </w:r>
    </w:p>
    <w:p w14:paraId="0E9D6EB9" w14:textId="77777777" w:rsidR="00F26534" w:rsidRDefault="4825908A" w:rsidP="004846B3">
      <w:pPr>
        <w:pStyle w:val="Rubrik3"/>
      </w:pPr>
      <w:r>
        <w:t>Tidplan</w:t>
      </w:r>
    </w:p>
    <w:p w14:paraId="447A25C2" w14:textId="3D532C1C" w:rsidR="00882C9F" w:rsidRDefault="009D1830" w:rsidP="004846B3">
      <w:pPr>
        <w:spacing w:line="240" w:lineRule="auto"/>
      </w:pPr>
      <w:r>
        <w:t xml:space="preserve">Maj 2017 </w:t>
      </w:r>
      <w:r w:rsidR="004846B3">
        <w:tab/>
      </w:r>
      <w:r w:rsidR="61D63E62">
        <w:t xml:space="preserve">Workshop 1 i Stockholm. Totalt tre dagar. Inriktning omvärld och megatrender. </w:t>
      </w:r>
    </w:p>
    <w:p w14:paraId="64B0BC5B" w14:textId="265E1093" w:rsidR="00882C9F" w:rsidRDefault="009D1830" w:rsidP="004846B3">
      <w:pPr>
        <w:spacing w:line="240" w:lineRule="auto"/>
      </w:pPr>
      <w:r>
        <w:t>Juni 2017</w:t>
      </w:r>
      <w:r w:rsidR="00882C9F">
        <w:tab/>
        <w:t xml:space="preserve">Återkoppla till ledningsgruppen med en tids- och aktivitetsplan </w:t>
      </w:r>
      <w:r w:rsidR="004846B3">
        <w:t>för uppdraget.</w:t>
      </w:r>
    </w:p>
    <w:p w14:paraId="58F41FE4" w14:textId="7BA42807" w:rsidR="00882C9F" w:rsidRDefault="009D1830" w:rsidP="004846B3">
      <w:pPr>
        <w:spacing w:line="240" w:lineRule="auto"/>
      </w:pPr>
      <w:r>
        <w:t>Nov 2017</w:t>
      </w:r>
      <w:r w:rsidR="00882C9F">
        <w:tab/>
        <w:t xml:space="preserve">Workshop 2 i Stockholm. </w:t>
      </w:r>
      <w:r>
        <w:t xml:space="preserve">Totalt tre dagar. </w:t>
      </w:r>
      <w:r w:rsidR="00882C9F">
        <w:t xml:space="preserve">Inriktning scenarier. </w:t>
      </w:r>
    </w:p>
    <w:p w14:paraId="3E192213" w14:textId="01AE8FE7" w:rsidR="00882C9F" w:rsidRPr="00882C9F" w:rsidRDefault="00882C9F" w:rsidP="004846B3">
      <w:pPr>
        <w:spacing w:line="240" w:lineRule="auto"/>
      </w:pPr>
      <w:r>
        <w:t>2018</w:t>
      </w:r>
      <w:r>
        <w:tab/>
        <w:t>Workshop 3 inriktning regionalisering, flernivåkonsekvenser</w:t>
      </w:r>
      <w:r>
        <w:br/>
      </w:r>
      <w:r>
        <w:tab/>
        <w:t xml:space="preserve">Workshop 4 inriktning policyutveckling, backcasting, strukturförändring. </w:t>
      </w:r>
    </w:p>
    <w:p w14:paraId="2DAD52A8" w14:textId="20D342BF" w:rsidR="00D974FE" w:rsidRDefault="4825908A" w:rsidP="004846B3">
      <w:pPr>
        <w:pStyle w:val="Rubrik3"/>
      </w:pPr>
      <w:r>
        <w:lastRenderedPageBreak/>
        <w:t>Ledning och organisering</w:t>
      </w:r>
    </w:p>
    <w:p w14:paraId="2C2DEB77" w14:textId="5F40D0BC" w:rsidR="009D1830" w:rsidRPr="009D1830" w:rsidRDefault="4825908A" w:rsidP="004846B3">
      <w:pPr>
        <w:spacing w:line="240" w:lineRule="auto"/>
      </w:pPr>
      <w:r>
        <w:t xml:space="preserve">Arbetet genomförs av uppdragstagarna som bildar en gemensam arbetsgrupp. Maria Larsson är sammankallade för gruppen samt kontaktperson till Reglab i Region 2050-arbetet. </w:t>
      </w:r>
    </w:p>
    <w:p w14:paraId="78F77FAC" w14:textId="0ECCCA03" w:rsidR="009D1830" w:rsidRPr="009D1830" w:rsidRDefault="4825908A" w:rsidP="004846B3">
      <w:pPr>
        <w:spacing w:line="240" w:lineRule="auto"/>
      </w:pPr>
      <w:r>
        <w:t xml:space="preserve">Ledningsgruppen för regional utveckling är styrgrupp för uppdraget och ansvarig för att tillsätta resurser till uppdraget. Arbetsgruppen återrapporterar regelbundet till ledningsgruppen. </w:t>
      </w:r>
    </w:p>
    <w:p w14:paraId="2049C5A0" w14:textId="568D413A" w:rsidR="61D63E62" w:rsidRDefault="4825908A" w:rsidP="004846B3">
      <w:pPr>
        <w:spacing w:line="240" w:lineRule="auto"/>
      </w:pPr>
      <w:r>
        <w:t>Ansvarig chef för arbetsledning: Mats Granér.</w:t>
      </w:r>
    </w:p>
    <w:p w14:paraId="49E9F081" w14:textId="350E1379" w:rsidR="009D1830" w:rsidRPr="009D1830" w:rsidRDefault="4825908A" w:rsidP="4825908A">
      <w:pPr>
        <w:spacing w:line="240" w:lineRule="auto"/>
        <w:rPr>
          <w:i/>
          <w:iCs/>
        </w:rPr>
      </w:pPr>
      <w:r>
        <w:t xml:space="preserve">Medarbetarna avsätter tid i form av förberedelser och deltagande på nationella workshop samt arbeta med interna lärandeprocesser och aktiviteter inom uppdraget. Uppdraget beräknas ta cirka 5 procent i arbetstid. Visst behov av konsulter och lokaler kan medföra mindre kostnader.  </w:t>
      </w:r>
    </w:p>
    <w:p w14:paraId="453509B5" w14:textId="77777777" w:rsidR="00D4541C" w:rsidRPr="00D578E6" w:rsidRDefault="4825908A" w:rsidP="4825908A">
      <w:pPr>
        <w:pStyle w:val="Rubrik3"/>
        <w:rPr>
          <w:rFonts w:eastAsia="Times New Roman" w:cs="Arial"/>
        </w:rPr>
      </w:pPr>
      <w:r w:rsidRPr="00D578E6">
        <w:rPr>
          <w:rFonts w:eastAsia="Times New Roman" w:cs="Arial"/>
        </w:rPr>
        <w:t xml:space="preserve">Samband och gränsdragning till andra uppdrag och pågående arbete </w:t>
      </w:r>
    </w:p>
    <w:p w14:paraId="0B8A8EEC" w14:textId="2A04A0BD" w:rsidR="009D1830" w:rsidRDefault="4825908A" w:rsidP="004846B3">
      <w:pPr>
        <w:spacing w:line="240" w:lineRule="auto"/>
      </w:pPr>
      <w:bookmarkStart w:id="0" w:name="_GoBack"/>
      <w:r>
        <w:t xml:space="preserve">Arbetet i framsynsgruppen ska kopplas till större strategiska processer som pågår inom regional utveckling. </w:t>
      </w:r>
    </w:p>
    <w:p w14:paraId="585445C0" w14:textId="5F6DDB84" w:rsidR="009D1830" w:rsidRDefault="4825908A" w:rsidP="004846B3">
      <w:pPr>
        <w:spacing w:line="240" w:lineRule="auto"/>
      </w:pPr>
      <w:r>
        <w:t xml:space="preserve">Identifierade processer som uppdraget kan kopplas till är: </w:t>
      </w:r>
    </w:p>
    <w:p w14:paraId="119B414D" w14:textId="6DD7D644" w:rsidR="009D1830" w:rsidRDefault="4825908A" w:rsidP="004846B3">
      <w:pPr>
        <w:pStyle w:val="Liststycke"/>
        <w:numPr>
          <w:ilvl w:val="0"/>
          <w:numId w:val="18"/>
        </w:numPr>
        <w:spacing w:line="240" w:lineRule="auto"/>
      </w:pPr>
      <w:r>
        <w:t>Framtagandet av vår nya VG20XX</w:t>
      </w:r>
    </w:p>
    <w:p w14:paraId="4F2DB635" w14:textId="5AF44646" w:rsidR="009D1830" w:rsidRDefault="4825908A" w:rsidP="004846B3">
      <w:pPr>
        <w:pStyle w:val="Liststycke"/>
        <w:numPr>
          <w:ilvl w:val="0"/>
          <w:numId w:val="18"/>
        </w:numPr>
        <w:spacing w:line="240" w:lineRule="auto"/>
      </w:pPr>
      <w:r>
        <w:t>Externa påverkansagendan</w:t>
      </w:r>
    </w:p>
    <w:p w14:paraId="38A674B7" w14:textId="2926CA64" w:rsidR="00F10C0B" w:rsidRDefault="4825908A" w:rsidP="004846B3">
      <w:pPr>
        <w:spacing w:line="240" w:lineRule="auto"/>
      </w:pPr>
      <w:r>
        <w:t xml:space="preserve">Andra aktiviteter som pågår och behöver tas hänsyn till är: </w:t>
      </w:r>
    </w:p>
    <w:p w14:paraId="15903623" w14:textId="48A7C50A" w:rsidR="009D1830" w:rsidRDefault="4825908A" w:rsidP="004846B3">
      <w:pPr>
        <w:pStyle w:val="Liststycke"/>
        <w:numPr>
          <w:ilvl w:val="0"/>
          <w:numId w:val="19"/>
        </w:numPr>
        <w:spacing w:line="240" w:lineRule="auto"/>
      </w:pPr>
      <w:r>
        <w:t xml:space="preserve">Enheten samhällsanalys uppdrag att ta fram en plan för systematisk trendanalys för Västra Götalandsregionen. </w:t>
      </w:r>
    </w:p>
    <w:p w14:paraId="0B5F13AA" w14:textId="77769729" w:rsidR="00F10C0B" w:rsidRPr="009D1830" w:rsidRDefault="4825908A" w:rsidP="004846B3">
      <w:pPr>
        <w:pStyle w:val="Liststycke"/>
        <w:numPr>
          <w:ilvl w:val="0"/>
          <w:numId w:val="19"/>
        </w:numPr>
        <w:spacing w:line="240" w:lineRule="auto"/>
      </w:pPr>
      <w:r>
        <w:t xml:space="preserve">OECDs analys Megaregioner som tas fram i samarbete med Region Halland, Oslo m.fl. Klar december 2017. </w:t>
      </w:r>
    </w:p>
    <w:p w14:paraId="194CED51" w14:textId="2AF9AC01" w:rsidR="61D63E62" w:rsidRDefault="4825908A" w:rsidP="004846B3">
      <w:pPr>
        <w:pStyle w:val="Liststycke"/>
        <w:numPr>
          <w:ilvl w:val="0"/>
          <w:numId w:val="19"/>
        </w:numPr>
        <w:spacing w:line="240" w:lineRule="auto"/>
      </w:pPr>
      <w:r>
        <w:t>Strategiska vägval 2030 – fossilobereonde region</w:t>
      </w:r>
    </w:p>
    <w:p w14:paraId="79C91D71" w14:textId="549E6643" w:rsidR="61D63E62" w:rsidRDefault="4825908A" w:rsidP="004846B3">
      <w:pPr>
        <w:pStyle w:val="Liststycke"/>
        <w:numPr>
          <w:ilvl w:val="0"/>
          <w:numId w:val="19"/>
        </w:numPr>
        <w:spacing w:line="240" w:lineRule="auto"/>
      </w:pPr>
      <w:r>
        <w:t>Digitala agendan</w:t>
      </w:r>
    </w:p>
    <w:p w14:paraId="4F83744C" w14:textId="28AFAF07" w:rsidR="61D63E62" w:rsidRDefault="4825908A" w:rsidP="004846B3">
      <w:pPr>
        <w:pStyle w:val="Liststycke"/>
        <w:numPr>
          <w:ilvl w:val="0"/>
          <w:numId w:val="19"/>
        </w:numPr>
        <w:spacing w:line="240" w:lineRule="auto"/>
      </w:pPr>
      <w:r>
        <w:t>Arbete med regional fysisk strukturbild</w:t>
      </w:r>
    </w:p>
    <w:p w14:paraId="612AE9B7" w14:textId="4DF01CC4" w:rsidR="61D63E62" w:rsidRDefault="4825908A" w:rsidP="004846B3">
      <w:pPr>
        <w:pStyle w:val="Liststycke"/>
        <w:numPr>
          <w:ilvl w:val="0"/>
          <w:numId w:val="19"/>
        </w:numPr>
        <w:spacing w:line="240" w:lineRule="auto"/>
      </w:pPr>
      <w:r>
        <w:t xml:space="preserve">Arbetet med kompetensförsörjning och arbetsmarknadsfrågor. </w:t>
      </w:r>
    </w:p>
    <w:bookmarkEnd w:id="0"/>
    <w:p w14:paraId="6992DD0C" w14:textId="77777777" w:rsidR="00E00D9C" w:rsidRPr="004846B3" w:rsidRDefault="4825908A" w:rsidP="004846B3">
      <w:pPr>
        <w:pStyle w:val="Rubrik3"/>
      </w:pPr>
      <w:r>
        <w:t xml:space="preserve">Kommunikation </w:t>
      </w:r>
    </w:p>
    <w:p w14:paraId="71AD6CAB" w14:textId="0E973DBE" w:rsidR="00F10C0B" w:rsidRPr="00F10C0B" w:rsidRDefault="4825908A" w:rsidP="004846B3">
      <w:pPr>
        <w:spacing w:line="240" w:lineRule="auto"/>
      </w:pPr>
      <w:r w:rsidRPr="4825908A">
        <w:rPr>
          <w:rFonts w:ascii="Calibri" w:eastAsia="Calibri" w:hAnsi="Calibri" w:cs="Calibri"/>
        </w:rPr>
        <w:t xml:space="preserve">Det kommer finnas behov av löpande intern kommunikation och visualisering kopplat till uppdragets aktiviteter.  </w:t>
      </w:r>
    </w:p>
    <w:p w14:paraId="4BC44178" w14:textId="2A56F072" w:rsidR="00B72DBF" w:rsidRDefault="4825908A" w:rsidP="004846B3">
      <w:pPr>
        <w:pStyle w:val="Rubrik3"/>
      </w:pPr>
      <w:r>
        <w:t xml:space="preserve">Uppdraget fastställs </w:t>
      </w:r>
    </w:p>
    <w:p w14:paraId="43107DD2" w14:textId="77777777" w:rsidR="00A534E7" w:rsidRPr="00A534E7" w:rsidRDefault="00A534E7" w:rsidP="004846B3">
      <w:pPr>
        <w:spacing w:line="240" w:lineRule="auto"/>
      </w:pPr>
    </w:p>
    <w:p w14:paraId="6AB7CA56" w14:textId="77777777" w:rsidR="00B72DBF" w:rsidRDefault="4825908A" w:rsidP="004846B3">
      <w:pPr>
        <w:spacing w:line="240" w:lineRule="auto"/>
      </w:pPr>
      <w:r>
        <w:t xml:space="preserve">Göteborg </w:t>
      </w:r>
    </w:p>
    <w:p w14:paraId="27DA3869" w14:textId="773D494A" w:rsidR="00B72DBF" w:rsidRPr="00713758" w:rsidRDefault="4825908A" w:rsidP="004846B3">
      <w:pPr>
        <w:spacing w:line="240" w:lineRule="auto"/>
      </w:pPr>
      <w:r>
        <w:t>2017-05-12</w:t>
      </w:r>
    </w:p>
    <w:p w14:paraId="79B2CE96" w14:textId="77777777" w:rsidR="002811E9" w:rsidRPr="00E4060A" w:rsidRDefault="002811E9" w:rsidP="004846B3"/>
    <w:sectPr w:rsidR="002811E9" w:rsidRPr="00E4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E8F9" w14:textId="77777777" w:rsidR="007E3314" w:rsidRDefault="007E3314" w:rsidP="00E66F6C">
      <w:pPr>
        <w:spacing w:after="0" w:line="240" w:lineRule="auto"/>
      </w:pPr>
      <w:r>
        <w:separator/>
      </w:r>
    </w:p>
  </w:endnote>
  <w:endnote w:type="continuationSeparator" w:id="0">
    <w:p w14:paraId="25FC04CA" w14:textId="77777777" w:rsidR="007E3314" w:rsidRDefault="007E3314" w:rsidP="00E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7FD96" w14:textId="77777777" w:rsidR="007E3314" w:rsidRDefault="007E3314" w:rsidP="00E66F6C">
      <w:pPr>
        <w:spacing w:after="0" w:line="240" w:lineRule="auto"/>
      </w:pPr>
      <w:r>
        <w:separator/>
      </w:r>
    </w:p>
  </w:footnote>
  <w:footnote w:type="continuationSeparator" w:id="0">
    <w:p w14:paraId="32976D01" w14:textId="77777777" w:rsidR="007E3314" w:rsidRDefault="007E3314" w:rsidP="00E6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FCA"/>
    <w:multiLevelType w:val="hybridMultilevel"/>
    <w:tmpl w:val="F0E879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864"/>
    <w:multiLevelType w:val="hybridMultilevel"/>
    <w:tmpl w:val="3C609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547D"/>
    <w:multiLevelType w:val="hybridMultilevel"/>
    <w:tmpl w:val="3C3414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11E"/>
    <w:multiLevelType w:val="hybridMultilevel"/>
    <w:tmpl w:val="4F3E7C64"/>
    <w:lvl w:ilvl="0" w:tplc="2F16E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24CA4"/>
    <w:multiLevelType w:val="hybridMultilevel"/>
    <w:tmpl w:val="FAF2A598"/>
    <w:lvl w:ilvl="0" w:tplc="1C4875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2692A"/>
    <w:multiLevelType w:val="hybridMultilevel"/>
    <w:tmpl w:val="7D8CD8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427B"/>
    <w:multiLevelType w:val="hybridMultilevel"/>
    <w:tmpl w:val="A8821ABA"/>
    <w:lvl w:ilvl="0" w:tplc="36E8F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F05"/>
    <w:multiLevelType w:val="hybridMultilevel"/>
    <w:tmpl w:val="79F05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C0CDF"/>
    <w:multiLevelType w:val="hybridMultilevel"/>
    <w:tmpl w:val="D6F0482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A0F44"/>
    <w:multiLevelType w:val="hybridMultilevel"/>
    <w:tmpl w:val="C0EEE560"/>
    <w:lvl w:ilvl="0" w:tplc="3190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400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EC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C35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0E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0267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853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4D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2EF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6C20A3"/>
    <w:multiLevelType w:val="hybridMultilevel"/>
    <w:tmpl w:val="973A2C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531D3"/>
    <w:multiLevelType w:val="hybridMultilevel"/>
    <w:tmpl w:val="E1703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26A0E"/>
    <w:multiLevelType w:val="hybridMultilevel"/>
    <w:tmpl w:val="33B638C2"/>
    <w:lvl w:ilvl="0" w:tplc="ECB8E65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86F22"/>
    <w:multiLevelType w:val="hybridMultilevel"/>
    <w:tmpl w:val="375C3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51E6D"/>
    <w:multiLevelType w:val="hybridMultilevel"/>
    <w:tmpl w:val="08A066B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9722C"/>
    <w:multiLevelType w:val="hybridMultilevel"/>
    <w:tmpl w:val="8AD0E3D0"/>
    <w:lvl w:ilvl="0" w:tplc="61E03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26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02F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4E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AC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0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6FF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6AA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27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DD73E5"/>
    <w:multiLevelType w:val="hybridMultilevel"/>
    <w:tmpl w:val="CA42D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E3A"/>
    <w:multiLevelType w:val="hybridMultilevel"/>
    <w:tmpl w:val="C0D8BA72"/>
    <w:lvl w:ilvl="0" w:tplc="1E9EF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62F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844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AEB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4E1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05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E2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EA6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66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EF5D8C"/>
    <w:multiLevelType w:val="hybridMultilevel"/>
    <w:tmpl w:val="30520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F477B"/>
    <w:multiLevelType w:val="hybridMultilevel"/>
    <w:tmpl w:val="DA4E6E14"/>
    <w:lvl w:ilvl="0" w:tplc="77486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86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A7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68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842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EB3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1448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43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09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2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9"/>
  </w:num>
  <w:num w:numId="14">
    <w:abstractNumId w:val="8"/>
  </w:num>
  <w:num w:numId="15">
    <w:abstractNumId w:val="3"/>
  </w:num>
  <w:num w:numId="16">
    <w:abstractNumId w:val="14"/>
  </w:num>
  <w:num w:numId="17">
    <w:abstractNumId w:val="10"/>
  </w:num>
  <w:num w:numId="18">
    <w:abstractNumId w:val="0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E9"/>
    <w:rsid w:val="0000708A"/>
    <w:rsid w:val="0002239D"/>
    <w:rsid w:val="00040455"/>
    <w:rsid w:val="000437BA"/>
    <w:rsid w:val="00047FEE"/>
    <w:rsid w:val="00074C8F"/>
    <w:rsid w:val="000B10D4"/>
    <w:rsid w:val="000D6C92"/>
    <w:rsid w:val="00111ACA"/>
    <w:rsid w:val="00174D0E"/>
    <w:rsid w:val="001A24F2"/>
    <w:rsid w:val="001E2BEF"/>
    <w:rsid w:val="001E42EB"/>
    <w:rsid w:val="001F7894"/>
    <w:rsid w:val="00204B18"/>
    <w:rsid w:val="002268E7"/>
    <w:rsid w:val="00230B58"/>
    <w:rsid w:val="00240A00"/>
    <w:rsid w:val="002457A9"/>
    <w:rsid w:val="0026040A"/>
    <w:rsid w:val="002811E9"/>
    <w:rsid w:val="002F4E78"/>
    <w:rsid w:val="00325514"/>
    <w:rsid w:val="0032795F"/>
    <w:rsid w:val="00333D09"/>
    <w:rsid w:val="003417A2"/>
    <w:rsid w:val="003B2A46"/>
    <w:rsid w:val="003C7FEE"/>
    <w:rsid w:val="003D3E25"/>
    <w:rsid w:val="0040472F"/>
    <w:rsid w:val="00433BEA"/>
    <w:rsid w:val="00457095"/>
    <w:rsid w:val="00460E43"/>
    <w:rsid w:val="004767C6"/>
    <w:rsid w:val="004846B3"/>
    <w:rsid w:val="004A14B4"/>
    <w:rsid w:val="00545763"/>
    <w:rsid w:val="00565C67"/>
    <w:rsid w:val="00584EB5"/>
    <w:rsid w:val="00596388"/>
    <w:rsid w:val="00596EA7"/>
    <w:rsid w:val="005A0FE7"/>
    <w:rsid w:val="005C1312"/>
    <w:rsid w:val="005E3EC0"/>
    <w:rsid w:val="006231D7"/>
    <w:rsid w:val="006268D4"/>
    <w:rsid w:val="00651A91"/>
    <w:rsid w:val="006C1E0E"/>
    <w:rsid w:val="006C3FB5"/>
    <w:rsid w:val="006D5329"/>
    <w:rsid w:val="006D540B"/>
    <w:rsid w:val="007119B3"/>
    <w:rsid w:val="00722463"/>
    <w:rsid w:val="00767180"/>
    <w:rsid w:val="00791AC0"/>
    <w:rsid w:val="007970F8"/>
    <w:rsid w:val="00797CDA"/>
    <w:rsid w:val="007E3314"/>
    <w:rsid w:val="007F5644"/>
    <w:rsid w:val="008229A2"/>
    <w:rsid w:val="0083431F"/>
    <w:rsid w:val="00882C9F"/>
    <w:rsid w:val="00891AC5"/>
    <w:rsid w:val="008F2E4C"/>
    <w:rsid w:val="009058C7"/>
    <w:rsid w:val="0090768E"/>
    <w:rsid w:val="0091203D"/>
    <w:rsid w:val="00912746"/>
    <w:rsid w:val="0091597C"/>
    <w:rsid w:val="00924B6B"/>
    <w:rsid w:val="00934CA1"/>
    <w:rsid w:val="00982B95"/>
    <w:rsid w:val="00996E5C"/>
    <w:rsid w:val="009A4070"/>
    <w:rsid w:val="009B4F62"/>
    <w:rsid w:val="009D1830"/>
    <w:rsid w:val="009F09D4"/>
    <w:rsid w:val="00A20EF4"/>
    <w:rsid w:val="00A329B4"/>
    <w:rsid w:val="00A34F77"/>
    <w:rsid w:val="00A534E7"/>
    <w:rsid w:val="00A57484"/>
    <w:rsid w:val="00A75F10"/>
    <w:rsid w:val="00A96D8A"/>
    <w:rsid w:val="00AA109D"/>
    <w:rsid w:val="00AB1FDB"/>
    <w:rsid w:val="00AC7FF2"/>
    <w:rsid w:val="00AF1022"/>
    <w:rsid w:val="00AF3FE7"/>
    <w:rsid w:val="00B006DB"/>
    <w:rsid w:val="00B41182"/>
    <w:rsid w:val="00B72DBF"/>
    <w:rsid w:val="00B84470"/>
    <w:rsid w:val="00B91650"/>
    <w:rsid w:val="00B95E06"/>
    <w:rsid w:val="00BA57C5"/>
    <w:rsid w:val="00BF6EF3"/>
    <w:rsid w:val="00C02633"/>
    <w:rsid w:val="00C11D1A"/>
    <w:rsid w:val="00CA448F"/>
    <w:rsid w:val="00CF31F6"/>
    <w:rsid w:val="00D03703"/>
    <w:rsid w:val="00D10CF1"/>
    <w:rsid w:val="00D23980"/>
    <w:rsid w:val="00D41E53"/>
    <w:rsid w:val="00D4541C"/>
    <w:rsid w:val="00D578E6"/>
    <w:rsid w:val="00D81969"/>
    <w:rsid w:val="00D974FE"/>
    <w:rsid w:val="00DA4B59"/>
    <w:rsid w:val="00DC0ED0"/>
    <w:rsid w:val="00E00D9C"/>
    <w:rsid w:val="00E1280D"/>
    <w:rsid w:val="00E208D9"/>
    <w:rsid w:val="00E4060A"/>
    <w:rsid w:val="00E434D9"/>
    <w:rsid w:val="00E65027"/>
    <w:rsid w:val="00E66F6C"/>
    <w:rsid w:val="00E73836"/>
    <w:rsid w:val="00EA02FA"/>
    <w:rsid w:val="00EC4D4C"/>
    <w:rsid w:val="00EE2671"/>
    <w:rsid w:val="00F10C0B"/>
    <w:rsid w:val="00F26534"/>
    <w:rsid w:val="00F36D13"/>
    <w:rsid w:val="00F64001"/>
    <w:rsid w:val="00F6469C"/>
    <w:rsid w:val="00F72152"/>
    <w:rsid w:val="00FD0D02"/>
    <w:rsid w:val="4825908A"/>
    <w:rsid w:val="61D6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FA5"/>
  <w15:chartTrackingRefBased/>
  <w15:docId w15:val="{58134001-7228-4F9D-8BB3-BAB1DA1A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811E9"/>
    <w:pPr>
      <w:keepNext/>
      <w:keepLines/>
      <w:spacing w:before="240" w:after="60" w:line="240" w:lineRule="auto"/>
      <w:ind w:right="868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811E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811E9"/>
    <w:rPr>
      <w:rFonts w:ascii="Arial" w:eastAsiaTheme="majorEastAsia" w:hAnsi="Arial" w:cstheme="majorBidi"/>
      <w:b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434D9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434D9"/>
    <w:rPr>
      <w:rFonts w:ascii="Calibri" w:hAnsi="Calibri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182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AA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tro">
    <w:name w:val="intro"/>
    <w:basedOn w:val="Normal"/>
    <w:rsid w:val="00AA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yphenate">
    <w:name w:val="hyphenate"/>
    <w:basedOn w:val="Normal"/>
    <w:rsid w:val="00DC0ED0"/>
    <w:pPr>
      <w:spacing w:after="257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6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6F6C"/>
  </w:style>
  <w:style w:type="paragraph" w:styleId="Sidfot">
    <w:name w:val="footer"/>
    <w:basedOn w:val="Normal"/>
    <w:link w:val="SidfotChar"/>
    <w:uiPriority w:val="99"/>
    <w:unhideWhenUsed/>
    <w:rsid w:val="00E66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6F6C"/>
  </w:style>
  <w:style w:type="character" w:styleId="Kommentarsreferens">
    <w:name w:val="annotation reference"/>
    <w:basedOn w:val="Standardstycketeckensnitt"/>
    <w:uiPriority w:val="99"/>
    <w:semiHidden/>
    <w:unhideWhenUsed/>
    <w:rsid w:val="00BF6E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F6EF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F6EF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F6E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F6E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72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28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997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60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87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2995231C</Template>
  <TotalTime>0</TotalTime>
  <Pages>2</Pages>
  <Words>654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Ottosson</dc:creator>
  <cp:keywords/>
  <dc:description/>
  <cp:lastModifiedBy>Maria Larsson</cp:lastModifiedBy>
  <cp:revision>2</cp:revision>
  <cp:lastPrinted>2015-10-29T15:11:00Z</cp:lastPrinted>
  <dcterms:created xsi:type="dcterms:W3CDTF">2017-05-12T07:14:00Z</dcterms:created>
  <dcterms:modified xsi:type="dcterms:W3CDTF">2017-05-12T07:14:00Z</dcterms:modified>
</cp:coreProperties>
</file>